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325D" w14:textId="68022DD1" w:rsidR="00AD014D" w:rsidRPr="00D75674" w:rsidRDefault="00506A8A" w:rsidP="00AD014D">
      <w:pPr>
        <w:spacing w:after="0" w:line="240" w:lineRule="auto"/>
        <w:rPr>
          <w:rFonts w:ascii="Arial" w:eastAsia="Aptos" w:hAnsi="Arial" w:cs="Arial"/>
          <w:b/>
          <w:bCs/>
          <w:u w:val="single"/>
          <w:lang w:eastAsia="en-GB"/>
        </w:rPr>
      </w:pPr>
      <w:r>
        <w:rPr>
          <w:rFonts w:ascii="Arial" w:eastAsia="Aptos" w:hAnsi="Arial" w:cs="Arial"/>
          <w:b/>
          <w:bCs/>
          <w:u w:val="single"/>
          <w:lang w:eastAsia="en-GB"/>
        </w:rPr>
        <w:t>Child Focused Model/Courts</w:t>
      </w:r>
      <w:r w:rsidR="00D75674">
        <w:rPr>
          <w:rFonts w:ascii="Arial" w:eastAsia="Aptos" w:hAnsi="Arial" w:cs="Arial"/>
          <w:b/>
          <w:bCs/>
          <w:u w:val="single"/>
          <w:lang w:eastAsia="en-GB"/>
        </w:rPr>
        <w:t xml:space="preserve"> (</w:t>
      </w:r>
      <w:r>
        <w:rPr>
          <w:rFonts w:ascii="Arial" w:eastAsia="Aptos" w:hAnsi="Arial" w:cs="Arial"/>
          <w:b/>
          <w:bCs/>
          <w:u w:val="single"/>
          <w:lang w:eastAsia="en-GB"/>
        </w:rPr>
        <w:t>Previously known as Private Law Pathfinder</w:t>
      </w:r>
      <w:r w:rsidR="00D75674">
        <w:rPr>
          <w:rFonts w:ascii="Arial" w:eastAsia="Aptos" w:hAnsi="Arial" w:cs="Arial"/>
          <w:b/>
          <w:bCs/>
          <w:u w:val="single"/>
          <w:lang w:eastAsia="en-GB"/>
        </w:rPr>
        <w:t>)</w:t>
      </w:r>
      <w:r w:rsidR="000C4F2B">
        <w:rPr>
          <w:rFonts w:ascii="Arial" w:eastAsia="Aptos" w:hAnsi="Arial" w:cs="Arial"/>
          <w:b/>
          <w:bCs/>
          <w:u w:val="single"/>
          <w:lang w:eastAsia="en-GB"/>
        </w:rPr>
        <w:t>:</w:t>
      </w:r>
      <w:r w:rsidR="00D75674">
        <w:rPr>
          <w:rFonts w:ascii="Arial" w:eastAsia="Aptos" w:hAnsi="Arial" w:cs="Arial"/>
          <w:b/>
          <w:bCs/>
          <w:u w:val="single"/>
          <w:lang w:eastAsia="en-GB"/>
        </w:rPr>
        <w:t xml:space="preserve"> </w:t>
      </w:r>
    </w:p>
    <w:p w14:paraId="232ED5BB" w14:textId="77777777" w:rsidR="00AD014D" w:rsidRPr="00990223" w:rsidRDefault="00AD014D" w:rsidP="00AD014D">
      <w:pPr>
        <w:spacing w:after="0" w:line="240" w:lineRule="auto"/>
        <w:rPr>
          <w:rFonts w:ascii="Aptos" w:eastAsia="Aptos" w:hAnsi="Aptos" w:cs="Aptos"/>
          <w:lang w:eastAsia="en-GB"/>
        </w:rPr>
      </w:pPr>
      <w:r w:rsidRPr="00990223">
        <w:rPr>
          <w:rFonts w:ascii="Arial" w:eastAsia="Aptos" w:hAnsi="Arial" w:cs="Arial"/>
          <w:i/>
          <w:iCs/>
          <w:lang w:eastAsia="en-GB"/>
        </w:rPr>
        <w:t> </w:t>
      </w:r>
    </w:p>
    <w:p w14:paraId="6ABB3F3B" w14:textId="51AF5211" w:rsidR="001F5A8E" w:rsidRDefault="00AD014D" w:rsidP="00AD014D">
      <w:pPr>
        <w:spacing w:after="0" w:line="240" w:lineRule="auto"/>
        <w:rPr>
          <w:rFonts w:ascii="Arial" w:eastAsia="Aptos" w:hAnsi="Arial" w:cs="Arial"/>
          <w:lang w:eastAsia="en-GB"/>
        </w:rPr>
      </w:pPr>
      <w:r w:rsidRPr="00990223">
        <w:rPr>
          <w:rFonts w:ascii="Arial" w:eastAsia="Aptos" w:hAnsi="Arial" w:cs="Arial"/>
          <w:lang w:eastAsia="en-GB"/>
        </w:rPr>
        <w:t xml:space="preserve">In </w:t>
      </w:r>
      <w:r w:rsidR="00300EAF">
        <w:rPr>
          <w:rFonts w:ascii="Arial" w:eastAsia="Aptos" w:hAnsi="Arial" w:cs="Arial"/>
          <w:lang w:eastAsia="en-GB"/>
        </w:rPr>
        <w:t>February</w:t>
      </w:r>
      <w:r w:rsidR="00300EAF" w:rsidRPr="00990223">
        <w:rPr>
          <w:rFonts w:ascii="Arial" w:eastAsia="Aptos" w:hAnsi="Arial" w:cs="Arial"/>
          <w:lang w:eastAsia="en-GB"/>
        </w:rPr>
        <w:t xml:space="preserve"> </w:t>
      </w:r>
      <w:r w:rsidRPr="00990223">
        <w:rPr>
          <w:rFonts w:ascii="Arial" w:eastAsia="Aptos" w:hAnsi="Arial" w:cs="Arial"/>
          <w:lang w:eastAsia="en-GB"/>
        </w:rPr>
        <w:t xml:space="preserve">2022, </w:t>
      </w:r>
      <w:r>
        <w:rPr>
          <w:rFonts w:ascii="Arial" w:eastAsia="Aptos" w:hAnsi="Arial" w:cs="Arial"/>
          <w:lang w:eastAsia="en-GB"/>
        </w:rPr>
        <w:t xml:space="preserve">a new model of </w:t>
      </w:r>
      <w:r w:rsidR="00923C78">
        <w:rPr>
          <w:rFonts w:ascii="Arial" w:eastAsia="Aptos" w:hAnsi="Arial" w:cs="Arial"/>
          <w:lang w:eastAsia="en-GB"/>
        </w:rPr>
        <w:t>proceedings for private law children cases called</w:t>
      </w:r>
      <w:r w:rsidR="00506A8A">
        <w:rPr>
          <w:rFonts w:ascii="Arial" w:eastAsia="Aptos" w:hAnsi="Arial" w:cs="Arial"/>
          <w:lang w:eastAsia="en-GB"/>
        </w:rPr>
        <w:t xml:space="preserve"> the Child Focused Model</w:t>
      </w:r>
      <w:r w:rsidR="00923C78">
        <w:rPr>
          <w:rFonts w:ascii="Arial" w:eastAsia="Aptos" w:hAnsi="Arial" w:cs="Arial"/>
          <w:lang w:eastAsia="en-GB"/>
        </w:rPr>
        <w:t xml:space="preserve"> </w:t>
      </w:r>
      <w:r w:rsidR="00506A8A">
        <w:rPr>
          <w:rFonts w:ascii="Arial" w:eastAsia="Aptos" w:hAnsi="Arial" w:cs="Arial"/>
          <w:lang w:eastAsia="en-GB"/>
        </w:rPr>
        <w:t>(p</w:t>
      </w:r>
      <w:r w:rsidR="00506A8A" w:rsidRPr="00506A8A">
        <w:rPr>
          <w:rFonts w:ascii="Arial" w:eastAsia="Aptos" w:hAnsi="Arial" w:cs="Arial"/>
          <w:lang w:eastAsia="en-GB"/>
        </w:rPr>
        <w:t>reviously known as Private Law Pathfinder</w:t>
      </w:r>
      <w:r w:rsidR="00506A8A">
        <w:rPr>
          <w:rFonts w:ascii="Arial" w:eastAsia="Aptos" w:hAnsi="Arial" w:cs="Arial"/>
          <w:lang w:eastAsia="en-GB"/>
        </w:rPr>
        <w:t>)</w:t>
      </w:r>
      <w:r w:rsidR="00506A8A" w:rsidRPr="00506A8A">
        <w:rPr>
          <w:rFonts w:ascii="Arial" w:eastAsia="Aptos" w:hAnsi="Arial" w:cs="Arial"/>
          <w:lang w:eastAsia="en-GB"/>
        </w:rPr>
        <w:t xml:space="preserve"> </w:t>
      </w:r>
      <w:r w:rsidR="00923C78">
        <w:rPr>
          <w:rFonts w:ascii="Arial" w:eastAsia="Aptos" w:hAnsi="Arial" w:cs="Arial"/>
          <w:lang w:eastAsia="en-GB"/>
        </w:rPr>
        <w:t xml:space="preserve">was launched in North Wales and Dorset. </w:t>
      </w:r>
      <w:r w:rsidR="00693725">
        <w:rPr>
          <w:rFonts w:ascii="Arial" w:eastAsia="Aptos" w:hAnsi="Arial" w:cs="Arial"/>
          <w:lang w:eastAsia="en-GB"/>
        </w:rPr>
        <w:t xml:space="preserve">In the last three years it has expanded and is </w:t>
      </w:r>
      <w:r w:rsidR="005F02B6">
        <w:rPr>
          <w:rFonts w:ascii="Arial" w:eastAsia="Aptos" w:hAnsi="Arial" w:cs="Arial"/>
          <w:lang w:eastAsia="en-GB"/>
        </w:rPr>
        <w:t xml:space="preserve">currently </w:t>
      </w:r>
      <w:r w:rsidR="00595B5D">
        <w:rPr>
          <w:rFonts w:ascii="Arial" w:eastAsia="Aptos" w:hAnsi="Arial" w:cs="Arial"/>
          <w:lang w:eastAsia="en-GB"/>
        </w:rPr>
        <w:t xml:space="preserve">operating in </w:t>
      </w:r>
      <w:r w:rsidR="00693725">
        <w:rPr>
          <w:rFonts w:ascii="Arial" w:eastAsia="Aptos" w:hAnsi="Arial" w:cs="Arial"/>
          <w:lang w:eastAsia="en-GB"/>
        </w:rPr>
        <w:t>10</w:t>
      </w:r>
      <w:r w:rsidR="00595B5D">
        <w:rPr>
          <w:rFonts w:ascii="Arial" w:eastAsia="Aptos" w:hAnsi="Arial" w:cs="Arial"/>
          <w:lang w:eastAsia="en-GB"/>
        </w:rPr>
        <w:t xml:space="preserve"> </w:t>
      </w:r>
      <w:r w:rsidR="00834FE3">
        <w:rPr>
          <w:rFonts w:ascii="Arial" w:eastAsia="Aptos" w:hAnsi="Arial" w:cs="Arial"/>
          <w:lang w:eastAsia="en-GB"/>
        </w:rPr>
        <w:t>court</w:t>
      </w:r>
      <w:r w:rsidR="00595B5D">
        <w:rPr>
          <w:rFonts w:ascii="Arial" w:eastAsia="Aptos" w:hAnsi="Arial" w:cs="Arial"/>
          <w:lang w:eastAsia="en-GB"/>
        </w:rPr>
        <w:t xml:space="preserve"> </w:t>
      </w:r>
      <w:r w:rsidR="00693725">
        <w:rPr>
          <w:rFonts w:ascii="Arial" w:eastAsia="Aptos" w:hAnsi="Arial" w:cs="Arial"/>
          <w:lang w:eastAsia="en-GB"/>
        </w:rPr>
        <w:t>areas:</w:t>
      </w:r>
    </w:p>
    <w:p w14:paraId="0D1DDB59" w14:textId="77777777" w:rsidR="001F5A8E" w:rsidRDefault="001F5A8E" w:rsidP="00AD014D">
      <w:pPr>
        <w:spacing w:after="0" w:line="240" w:lineRule="auto"/>
        <w:rPr>
          <w:rFonts w:ascii="Arial" w:eastAsia="Aptos" w:hAnsi="Arial" w:cs="Arial"/>
          <w:lang w:eastAsia="en-GB"/>
        </w:rPr>
      </w:pPr>
    </w:p>
    <w:p w14:paraId="64115396" w14:textId="73B3C485" w:rsidR="001F5A8E" w:rsidRDefault="001F5A8E"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North Wales (</w:t>
      </w:r>
      <w:r w:rsidR="00220A5D">
        <w:rPr>
          <w:rFonts w:ascii="Arial" w:eastAsia="Aptos" w:hAnsi="Arial" w:cs="Arial"/>
          <w:lang w:eastAsia="en-GB"/>
        </w:rPr>
        <w:t>Wrexham)</w:t>
      </w:r>
    </w:p>
    <w:p w14:paraId="1DAB6080" w14:textId="30F0FAAC" w:rsidR="001F5A8E" w:rsidRDefault="001F5A8E"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Southeast Wales (</w:t>
      </w:r>
      <w:r w:rsidR="00220A5D">
        <w:rPr>
          <w:rFonts w:ascii="Arial" w:eastAsia="Aptos" w:hAnsi="Arial" w:cs="Arial"/>
          <w:lang w:eastAsia="en-GB"/>
        </w:rPr>
        <w:t>Cardiff)</w:t>
      </w:r>
    </w:p>
    <w:p w14:paraId="7422C91D" w14:textId="079182BF" w:rsidR="001F5A8E" w:rsidRDefault="001F5A8E"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Mid and West Wales (</w:t>
      </w:r>
      <w:r w:rsidR="00220A5D">
        <w:rPr>
          <w:rFonts w:ascii="Arial" w:eastAsia="Aptos" w:hAnsi="Arial" w:cs="Arial"/>
          <w:lang w:eastAsia="en-GB"/>
        </w:rPr>
        <w:t>Swansea)</w:t>
      </w:r>
    </w:p>
    <w:p w14:paraId="2741C6A8" w14:textId="2D235895" w:rsidR="001F5A8E" w:rsidRDefault="003A2BBC"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 xml:space="preserve">Bournemouth and </w:t>
      </w:r>
      <w:r w:rsidR="001F5A8E">
        <w:rPr>
          <w:rFonts w:ascii="Arial" w:eastAsia="Aptos" w:hAnsi="Arial" w:cs="Arial"/>
          <w:lang w:eastAsia="en-GB"/>
        </w:rPr>
        <w:t>Dorset (</w:t>
      </w:r>
      <w:r w:rsidR="00220A5D">
        <w:rPr>
          <w:rFonts w:ascii="Arial" w:eastAsia="Aptos" w:hAnsi="Arial" w:cs="Arial"/>
          <w:lang w:eastAsia="en-GB"/>
        </w:rPr>
        <w:t>Bournemouth)</w:t>
      </w:r>
    </w:p>
    <w:p w14:paraId="1B416E80" w14:textId="1A0C0B1C" w:rsidR="001F5A8E" w:rsidRDefault="001F5A8E"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Birmingham</w:t>
      </w:r>
    </w:p>
    <w:p w14:paraId="79E6EAAF" w14:textId="381AC4D6" w:rsidR="00C5048C" w:rsidRDefault="00C5048C"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West Yorkshire</w:t>
      </w:r>
      <w:r w:rsidR="00220A5D">
        <w:rPr>
          <w:rFonts w:ascii="Arial" w:eastAsia="Aptos" w:hAnsi="Arial" w:cs="Arial"/>
          <w:lang w:eastAsia="en-GB"/>
        </w:rPr>
        <w:t xml:space="preserve"> (Leeds)</w:t>
      </w:r>
    </w:p>
    <w:p w14:paraId="24C50F8E" w14:textId="08FAEC1E" w:rsidR="005F02B6" w:rsidRDefault="005F02B6"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Black Country and Shropshire (Wolverhampton)</w:t>
      </w:r>
    </w:p>
    <w:p w14:paraId="006CF3E0" w14:textId="2CD0C1E1" w:rsidR="001F5A8E" w:rsidRDefault="00C5048C" w:rsidP="001F5A8E">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Hereford and Worcester</w:t>
      </w:r>
      <w:r w:rsidR="00220A5D">
        <w:rPr>
          <w:rFonts w:ascii="Arial" w:eastAsia="Aptos" w:hAnsi="Arial" w:cs="Arial"/>
          <w:lang w:eastAsia="en-GB"/>
        </w:rPr>
        <w:t xml:space="preserve"> (Worcester)</w:t>
      </w:r>
    </w:p>
    <w:p w14:paraId="139C6F18" w14:textId="56288EBE" w:rsidR="00756D98" w:rsidRPr="005F02B6" w:rsidRDefault="00C5048C" w:rsidP="005F02B6">
      <w:pPr>
        <w:pStyle w:val="ListParagraph"/>
        <w:numPr>
          <w:ilvl w:val="0"/>
          <w:numId w:val="2"/>
        </w:numPr>
        <w:spacing w:after="0" w:line="240" w:lineRule="auto"/>
        <w:rPr>
          <w:rFonts w:ascii="Arial" w:eastAsia="Aptos" w:hAnsi="Arial" w:cs="Arial"/>
          <w:lang w:eastAsia="en-GB"/>
        </w:rPr>
      </w:pPr>
      <w:r>
        <w:rPr>
          <w:rFonts w:ascii="Arial" w:eastAsia="Aptos" w:hAnsi="Arial" w:cs="Arial"/>
          <w:lang w:eastAsia="en-GB"/>
        </w:rPr>
        <w:t>Staffordshire</w:t>
      </w:r>
      <w:r w:rsidR="002F02A5">
        <w:rPr>
          <w:rFonts w:ascii="Arial" w:eastAsia="Aptos" w:hAnsi="Arial" w:cs="Arial"/>
          <w:lang w:eastAsia="en-GB"/>
        </w:rPr>
        <w:t xml:space="preserve"> and Stoke-on-Trent</w:t>
      </w:r>
      <w:r w:rsidR="00220A5D">
        <w:rPr>
          <w:rFonts w:ascii="Arial" w:eastAsia="Aptos" w:hAnsi="Arial" w:cs="Arial"/>
          <w:lang w:eastAsia="en-GB"/>
        </w:rPr>
        <w:t xml:space="preserve"> (Stoke-on-Trent)</w:t>
      </w:r>
    </w:p>
    <w:p w14:paraId="7923C028" w14:textId="5526AEB6" w:rsidR="00595B5D" w:rsidRPr="00B10190" w:rsidRDefault="00DA3531" w:rsidP="00AD014D">
      <w:pPr>
        <w:pStyle w:val="ListParagraph"/>
        <w:numPr>
          <w:ilvl w:val="0"/>
          <w:numId w:val="2"/>
        </w:numPr>
        <w:spacing w:after="0" w:line="240" w:lineRule="auto"/>
        <w:rPr>
          <w:rFonts w:ascii="Arial" w:eastAsia="Aptos" w:hAnsi="Arial" w:cs="Arial"/>
          <w:i/>
          <w:iCs/>
          <w:lang w:eastAsia="en-GB"/>
        </w:rPr>
      </w:pPr>
      <w:r>
        <w:rPr>
          <w:rFonts w:ascii="Arial" w:eastAsia="Aptos" w:hAnsi="Arial" w:cs="Arial"/>
          <w:lang w:eastAsia="en-GB"/>
        </w:rPr>
        <w:t>Hampshire and Isle of Wight (Portsmouth)</w:t>
      </w:r>
    </w:p>
    <w:p w14:paraId="19C3203D" w14:textId="77777777" w:rsidR="00B10190" w:rsidRDefault="00B10190" w:rsidP="00B10190">
      <w:pPr>
        <w:spacing w:after="0" w:line="240" w:lineRule="auto"/>
        <w:rPr>
          <w:rFonts w:ascii="Arial" w:eastAsia="Aptos" w:hAnsi="Arial" w:cs="Arial"/>
          <w:i/>
          <w:iCs/>
          <w:lang w:eastAsia="en-GB"/>
        </w:rPr>
      </w:pPr>
    </w:p>
    <w:p w14:paraId="41BEE2E2" w14:textId="1DEA92B7" w:rsidR="00A61B7D" w:rsidRDefault="00F0124A" w:rsidP="00A027CF">
      <w:pPr>
        <w:spacing w:after="120" w:line="240" w:lineRule="auto"/>
        <w:rPr>
          <w:rFonts w:ascii="Arial" w:hAnsi="Arial" w:cs="Arial"/>
        </w:rPr>
      </w:pPr>
      <w:r>
        <w:rPr>
          <w:rFonts w:ascii="Arial" w:hAnsi="Arial" w:cs="Arial"/>
        </w:rPr>
        <w:t xml:space="preserve">In the areas </w:t>
      </w:r>
      <w:r w:rsidR="00326DE2">
        <w:rPr>
          <w:rFonts w:ascii="Arial" w:hAnsi="Arial" w:cs="Arial"/>
        </w:rPr>
        <w:t>operating</w:t>
      </w:r>
      <w:r>
        <w:rPr>
          <w:rFonts w:ascii="Arial" w:hAnsi="Arial" w:cs="Arial"/>
        </w:rPr>
        <w:t xml:space="preserve"> </w:t>
      </w:r>
      <w:r w:rsidR="005650D0">
        <w:rPr>
          <w:rFonts w:ascii="Arial" w:hAnsi="Arial" w:cs="Arial"/>
        </w:rPr>
        <w:t xml:space="preserve">the </w:t>
      </w:r>
      <w:r w:rsidR="00506A8A">
        <w:rPr>
          <w:rFonts w:ascii="Arial" w:hAnsi="Arial" w:cs="Arial"/>
        </w:rPr>
        <w:t>Child Focused</w:t>
      </w:r>
      <w:r>
        <w:rPr>
          <w:rFonts w:ascii="Arial" w:hAnsi="Arial" w:cs="Arial"/>
        </w:rPr>
        <w:t xml:space="preserve"> </w:t>
      </w:r>
      <w:r w:rsidR="00506A8A">
        <w:rPr>
          <w:rFonts w:ascii="Arial" w:hAnsi="Arial" w:cs="Arial"/>
        </w:rPr>
        <w:t>Model</w:t>
      </w:r>
      <w:r w:rsidR="00326DE2">
        <w:rPr>
          <w:rFonts w:ascii="Arial" w:hAnsi="Arial" w:cs="Arial"/>
        </w:rPr>
        <w:t xml:space="preserve"> it</w:t>
      </w:r>
      <w:r w:rsidR="005650D0">
        <w:rPr>
          <w:rFonts w:ascii="Arial" w:hAnsi="Arial" w:cs="Arial"/>
        </w:rPr>
        <w:t xml:space="preserve"> </w:t>
      </w:r>
      <w:r>
        <w:rPr>
          <w:rFonts w:ascii="Arial" w:hAnsi="Arial" w:cs="Arial"/>
        </w:rPr>
        <w:t>replaces the previous Child Arrangements Programme (CAP)</w:t>
      </w:r>
      <w:r w:rsidR="00AF3633">
        <w:rPr>
          <w:rFonts w:ascii="Arial" w:hAnsi="Arial" w:cs="Arial"/>
        </w:rPr>
        <w:t xml:space="preserve"> for certain private law proceedings</w:t>
      </w:r>
      <w:r>
        <w:rPr>
          <w:rFonts w:ascii="Arial" w:hAnsi="Arial" w:cs="Arial"/>
        </w:rPr>
        <w:t xml:space="preserve">. </w:t>
      </w:r>
      <w:r w:rsidR="00A61B7D" w:rsidRPr="00A61B7D">
        <w:rPr>
          <w:rFonts w:ascii="Arial" w:hAnsi="Arial" w:cs="Arial"/>
        </w:rPr>
        <w:t xml:space="preserve">The model aims to improve the experience of children and families in private law proceedings through early identification of risk, increased engagement and participation of children and providing specialist support for domestic abuse </w:t>
      </w:r>
      <w:r w:rsidR="00D34B21">
        <w:rPr>
          <w:rFonts w:ascii="Arial" w:hAnsi="Arial" w:cs="Arial"/>
        </w:rPr>
        <w:t>victim-</w:t>
      </w:r>
      <w:r w:rsidR="00A61B7D" w:rsidRPr="00A61B7D">
        <w:rPr>
          <w:rFonts w:ascii="Arial" w:hAnsi="Arial" w:cs="Arial"/>
        </w:rPr>
        <w:t xml:space="preserve">survivors. It also streamlines the court process - increasing efficiency, reducing the number of hearings per case and aims to </w:t>
      </w:r>
      <w:r w:rsidR="00A61B7D" w:rsidRPr="00A61B7D" w:rsidDel="004F3F39">
        <w:rPr>
          <w:rFonts w:ascii="Arial" w:hAnsi="Arial" w:cs="Arial"/>
        </w:rPr>
        <w:t xml:space="preserve">reduce the </w:t>
      </w:r>
      <w:r w:rsidR="00A61B7D" w:rsidRPr="00A61B7D">
        <w:rPr>
          <w:rFonts w:ascii="Arial" w:hAnsi="Arial" w:cs="Arial"/>
        </w:rPr>
        <w:t xml:space="preserve">number of returning cases through better informed, more sustainable orders. </w:t>
      </w:r>
    </w:p>
    <w:p w14:paraId="32F9B87F" w14:textId="77777777" w:rsidR="001429B1" w:rsidRDefault="00A61B7D" w:rsidP="00A61B7D">
      <w:pPr>
        <w:spacing w:after="120" w:line="240" w:lineRule="auto"/>
        <w:jc w:val="both"/>
        <w:rPr>
          <w:rFonts w:ascii="Arial" w:hAnsi="Arial" w:cs="Arial"/>
        </w:rPr>
      </w:pPr>
      <w:r>
        <w:rPr>
          <w:rFonts w:ascii="Arial" w:hAnsi="Arial" w:cs="Arial"/>
        </w:rPr>
        <w:t>The key changes</w:t>
      </w:r>
      <w:r w:rsidR="00792797">
        <w:rPr>
          <w:rFonts w:ascii="Arial" w:hAnsi="Arial" w:cs="Arial"/>
        </w:rPr>
        <w:t xml:space="preserve"> are</w:t>
      </w:r>
      <w:r w:rsidR="001429B1">
        <w:rPr>
          <w:rFonts w:ascii="Arial" w:hAnsi="Arial" w:cs="Arial"/>
        </w:rPr>
        <w:t>:</w:t>
      </w:r>
    </w:p>
    <w:p w14:paraId="14684EE9" w14:textId="65299F13" w:rsidR="00AB7773" w:rsidRDefault="009F44F4" w:rsidP="00D75674">
      <w:pPr>
        <w:pStyle w:val="ListParagraph"/>
        <w:numPr>
          <w:ilvl w:val="0"/>
          <w:numId w:val="3"/>
        </w:numPr>
        <w:spacing w:after="120" w:line="240" w:lineRule="auto"/>
        <w:ind w:left="714" w:hanging="357"/>
        <w:contextualSpacing w:val="0"/>
        <w:rPr>
          <w:rFonts w:ascii="Arial" w:hAnsi="Arial" w:cs="Arial"/>
        </w:rPr>
      </w:pPr>
      <w:r w:rsidRPr="003252FF">
        <w:rPr>
          <w:rFonts w:ascii="Arial" w:hAnsi="Arial" w:cs="Arial"/>
          <w:b/>
          <w:bCs/>
        </w:rPr>
        <w:t>I</w:t>
      </w:r>
      <w:r w:rsidR="00792797" w:rsidRPr="003252FF">
        <w:rPr>
          <w:rFonts w:ascii="Arial" w:hAnsi="Arial" w:cs="Arial"/>
          <w:b/>
          <w:bCs/>
        </w:rPr>
        <w:t xml:space="preserve">ntroduction of the Child Impact Report </w:t>
      </w:r>
      <w:r w:rsidR="003252FF">
        <w:rPr>
          <w:rFonts w:ascii="Arial" w:hAnsi="Arial" w:cs="Arial"/>
        </w:rPr>
        <w:t>- b</w:t>
      </w:r>
      <w:r w:rsidR="007D060E" w:rsidRPr="003252FF">
        <w:rPr>
          <w:rFonts w:ascii="Arial" w:hAnsi="Arial" w:cs="Arial"/>
        </w:rPr>
        <w:t xml:space="preserve">oth </w:t>
      </w:r>
      <w:r w:rsidR="00B33477" w:rsidRPr="003252FF">
        <w:rPr>
          <w:rFonts w:ascii="Arial" w:hAnsi="Arial" w:cs="Arial"/>
        </w:rPr>
        <w:t>the Safeguarding</w:t>
      </w:r>
      <w:r w:rsidR="007D060E" w:rsidRPr="003252FF">
        <w:rPr>
          <w:rFonts w:ascii="Arial" w:hAnsi="Arial" w:cs="Arial"/>
        </w:rPr>
        <w:t xml:space="preserve"> </w:t>
      </w:r>
      <w:r w:rsidR="00B33477" w:rsidRPr="003252FF">
        <w:rPr>
          <w:rFonts w:ascii="Arial" w:hAnsi="Arial" w:cs="Arial"/>
        </w:rPr>
        <w:t xml:space="preserve">Letter </w:t>
      </w:r>
      <w:r w:rsidR="007D060E" w:rsidRPr="003252FF">
        <w:rPr>
          <w:rFonts w:ascii="Arial" w:hAnsi="Arial" w:cs="Arial"/>
        </w:rPr>
        <w:t xml:space="preserve">and section </w:t>
      </w:r>
      <w:r w:rsidR="00B33477" w:rsidRPr="003252FF">
        <w:rPr>
          <w:rFonts w:ascii="Arial" w:hAnsi="Arial" w:cs="Arial"/>
        </w:rPr>
        <w:t xml:space="preserve">7 </w:t>
      </w:r>
      <w:r w:rsidR="00503FFE">
        <w:rPr>
          <w:rFonts w:ascii="Arial" w:hAnsi="Arial" w:cs="Arial"/>
        </w:rPr>
        <w:t>r</w:t>
      </w:r>
      <w:r w:rsidR="00B33477" w:rsidRPr="003252FF">
        <w:rPr>
          <w:rFonts w:ascii="Arial" w:hAnsi="Arial" w:cs="Arial"/>
        </w:rPr>
        <w:t xml:space="preserve">eport </w:t>
      </w:r>
      <w:r w:rsidR="003252FF" w:rsidRPr="003252FF">
        <w:rPr>
          <w:rFonts w:ascii="Arial" w:hAnsi="Arial" w:cs="Arial"/>
        </w:rPr>
        <w:t xml:space="preserve">under CAP </w:t>
      </w:r>
      <w:r w:rsidR="003252FF">
        <w:rPr>
          <w:rFonts w:ascii="Arial" w:hAnsi="Arial" w:cs="Arial"/>
        </w:rPr>
        <w:t>are replaced with</w:t>
      </w:r>
      <w:r w:rsidR="00B33477" w:rsidRPr="003252FF">
        <w:rPr>
          <w:rFonts w:ascii="Arial" w:hAnsi="Arial" w:cs="Arial"/>
        </w:rPr>
        <w:t xml:space="preserve"> a comprehensive Child Impact Report (CIR) prepared early in the process (within 40 working days of being ordered).</w:t>
      </w:r>
      <w:r w:rsidR="00E21257">
        <w:rPr>
          <w:rFonts w:ascii="Arial" w:hAnsi="Arial" w:cs="Arial"/>
        </w:rPr>
        <w:t xml:space="preserve"> The CIR includes information relevant to decision making, the child’s wishes and feelings, a recommendation to the court and the parties’ views on that recommendation.</w:t>
      </w:r>
      <w:r w:rsidR="00B33477" w:rsidRPr="003252FF">
        <w:rPr>
          <w:rFonts w:ascii="Arial" w:hAnsi="Arial" w:cs="Arial"/>
        </w:rPr>
        <w:t xml:space="preserve"> </w:t>
      </w:r>
      <w:r w:rsidR="00BA4FDB">
        <w:rPr>
          <w:rFonts w:ascii="Arial" w:hAnsi="Arial" w:cs="Arial"/>
        </w:rPr>
        <w:t>T</w:t>
      </w:r>
      <w:r w:rsidR="00B33477" w:rsidRPr="003252FF">
        <w:rPr>
          <w:rFonts w:ascii="Arial" w:hAnsi="Arial" w:cs="Arial"/>
        </w:rPr>
        <w:t xml:space="preserve">his report is available before the Safeguarding Gatekeeping Appointment and before any </w:t>
      </w:r>
      <w:r w:rsidR="00BA4FDB">
        <w:rPr>
          <w:rFonts w:ascii="Arial" w:hAnsi="Arial" w:cs="Arial"/>
        </w:rPr>
        <w:t xml:space="preserve">non-urgent </w:t>
      </w:r>
      <w:r w:rsidR="00B33477" w:rsidRPr="003252FF">
        <w:rPr>
          <w:rFonts w:ascii="Arial" w:hAnsi="Arial" w:cs="Arial"/>
        </w:rPr>
        <w:t>hearing which parties attend</w:t>
      </w:r>
      <w:r w:rsidR="003252FF" w:rsidRPr="003252FF">
        <w:rPr>
          <w:rFonts w:ascii="Arial" w:hAnsi="Arial" w:cs="Arial"/>
        </w:rPr>
        <w:t>.</w:t>
      </w:r>
      <w:r w:rsidR="001640F2">
        <w:rPr>
          <w:rFonts w:ascii="Arial" w:hAnsi="Arial" w:cs="Arial"/>
        </w:rPr>
        <w:t xml:space="preserve"> </w:t>
      </w:r>
    </w:p>
    <w:p w14:paraId="150F65E9" w14:textId="2CD01EAE" w:rsidR="00D75674" w:rsidRPr="002A7C43" w:rsidRDefault="003252FF" w:rsidP="00D75674">
      <w:pPr>
        <w:pStyle w:val="ListParagraph"/>
        <w:numPr>
          <w:ilvl w:val="0"/>
          <w:numId w:val="3"/>
        </w:numPr>
        <w:spacing w:before="240" w:after="120" w:line="240" w:lineRule="auto"/>
        <w:ind w:left="714" w:hanging="357"/>
        <w:contextualSpacing w:val="0"/>
        <w:rPr>
          <w:rFonts w:ascii="Arial" w:hAnsi="Arial" w:cs="Arial"/>
        </w:rPr>
      </w:pPr>
      <w:r>
        <w:rPr>
          <w:rFonts w:ascii="Arial" w:hAnsi="Arial" w:cs="Arial"/>
          <w:b/>
          <w:bCs/>
        </w:rPr>
        <w:t xml:space="preserve">Introduction of the Decision Hearing </w:t>
      </w:r>
      <w:r w:rsidRPr="003252FF">
        <w:rPr>
          <w:rFonts w:ascii="Arial" w:hAnsi="Arial" w:cs="Arial"/>
        </w:rPr>
        <w:t>-</w:t>
      </w:r>
      <w:r w:rsidR="00215562">
        <w:rPr>
          <w:rFonts w:ascii="Arial" w:hAnsi="Arial" w:cs="Arial"/>
        </w:rPr>
        <w:t xml:space="preserve"> </w:t>
      </w:r>
      <w:r w:rsidR="002A7C43">
        <w:rPr>
          <w:rFonts w:ascii="Arial" w:eastAsia="Aptos" w:hAnsi="Arial" w:cs="Arial"/>
          <w:lang w:eastAsia="en-GB"/>
        </w:rPr>
        <w:t xml:space="preserve">under </w:t>
      </w:r>
      <w:r w:rsidR="00506A8A">
        <w:rPr>
          <w:rFonts w:ascii="Arial" w:eastAsia="Aptos" w:hAnsi="Arial" w:cs="Arial"/>
          <w:lang w:eastAsia="en-GB"/>
        </w:rPr>
        <w:t>the Child Focused Model</w:t>
      </w:r>
      <w:r w:rsidR="002A7C43" w:rsidRPr="00D75674">
        <w:rPr>
          <w:rFonts w:ascii="Arial" w:eastAsia="Aptos" w:hAnsi="Arial" w:cs="Arial"/>
          <w:lang w:eastAsia="en-GB"/>
        </w:rPr>
        <w:t xml:space="preserve"> </w:t>
      </w:r>
      <w:r w:rsidR="002A7C43">
        <w:rPr>
          <w:rFonts w:ascii="Arial" w:eastAsia="Aptos" w:hAnsi="Arial" w:cs="Arial"/>
          <w:lang w:eastAsia="en-GB"/>
        </w:rPr>
        <w:t>there is no longer any F</w:t>
      </w:r>
      <w:r w:rsidR="002D6DDF">
        <w:rPr>
          <w:rFonts w:ascii="Arial" w:eastAsia="Aptos" w:hAnsi="Arial" w:cs="Arial"/>
          <w:lang w:eastAsia="en-GB"/>
        </w:rPr>
        <w:t xml:space="preserve">irst </w:t>
      </w:r>
      <w:r w:rsidR="002A7C43">
        <w:rPr>
          <w:rFonts w:ascii="Arial" w:eastAsia="Aptos" w:hAnsi="Arial" w:cs="Arial"/>
          <w:lang w:eastAsia="en-GB"/>
        </w:rPr>
        <w:t>H</w:t>
      </w:r>
      <w:r w:rsidR="002D6DDF">
        <w:rPr>
          <w:rFonts w:ascii="Arial" w:eastAsia="Aptos" w:hAnsi="Arial" w:cs="Arial"/>
          <w:lang w:eastAsia="en-GB"/>
        </w:rPr>
        <w:t xml:space="preserve">earing </w:t>
      </w:r>
      <w:r w:rsidR="002A7C43">
        <w:rPr>
          <w:rFonts w:ascii="Arial" w:eastAsia="Aptos" w:hAnsi="Arial" w:cs="Arial"/>
          <w:lang w:eastAsia="en-GB"/>
        </w:rPr>
        <w:t>D</w:t>
      </w:r>
      <w:r w:rsidR="002D6DDF">
        <w:rPr>
          <w:rFonts w:ascii="Arial" w:eastAsia="Aptos" w:hAnsi="Arial" w:cs="Arial"/>
          <w:lang w:eastAsia="en-GB"/>
        </w:rPr>
        <w:t xml:space="preserve">ispute </w:t>
      </w:r>
      <w:r w:rsidR="002A7C43">
        <w:rPr>
          <w:rFonts w:ascii="Arial" w:eastAsia="Aptos" w:hAnsi="Arial" w:cs="Arial"/>
          <w:lang w:eastAsia="en-GB"/>
        </w:rPr>
        <w:t>R</w:t>
      </w:r>
      <w:r w:rsidR="002D6DDF">
        <w:rPr>
          <w:rFonts w:ascii="Arial" w:eastAsia="Aptos" w:hAnsi="Arial" w:cs="Arial"/>
          <w:lang w:eastAsia="en-GB"/>
        </w:rPr>
        <w:t xml:space="preserve">esolution </w:t>
      </w:r>
      <w:r w:rsidR="002A7C43">
        <w:rPr>
          <w:rFonts w:ascii="Arial" w:eastAsia="Aptos" w:hAnsi="Arial" w:cs="Arial"/>
          <w:lang w:eastAsia="en-GB"/>
        </w:rPr>
        <w:t>A</w:t>
      </w:r>
      <w:r w:rsidR="002D6DDF">
        <w:rPr>
          <w:rFonts w:ascii="Arial" w:eastAsia="Aptos" w:hAnsi="Arial" w:cs="Arial"/>
          <w:lang w:eastAsia="en-GB"/>
        </w:rPr>
        <w:t>ppointments (FHDRA</w:t>
      </w:r>
      <w:r w:rsidR="002A7C43">
        <w:rPr>
          <w:rFonts w:ascii="Arial" w:eastAsia="Aptos" w:hAnsi="Arial" w:cs="Arial"/>
          <w:lang w:eastAsia="en-GB"/>
        </w:rPr>
        <w:t>s</w:t>
      </w:r>
      <w:r w:rsidR="002D6DDF">
        <w:rPr>
          <w:rFonts w:ascii="Arial" w:eastAsia="Aptos" w:hAnsi="Arial" w:cs="Arial"/>
          <w:lang w:eastAsia="en-GB"/>
        </w:rPr>
        <w:t>)</w:t>
      </w:r>
      <w:r w:rsidR="002A7C43">
        <w:rPr>
          <w:rFonts w:ascii="Arial" w:eastAsia="Aptos" w:hAnsi="Arial" w:cs="Arial"/>
          <w:lang w:eastAsia="en-GB"/>
        </w:rPr>
        <w:t xml:space="preserve"> or D</w:t>
      </w:r>
      <w:r w:rsidR="00C5666D">
        <w:rPr>
          <w:rFonts w:ascii="Arial" w:eastAsia="Aptos" w:hAnsi="Arial" w:cs="Arial"/>
          <w:lang w:eastAsia="en-GB"/>
        </w:rPr>
        <w:t xml:space="preserve">ispute </w:t>
      </w:r>
      <w:r w:rsidR="002A7C43">
        <w:rPr>
          <w:rFonts w:ascii="Arial" w:eastAsia="Aptos" w:hAnsi="Arial" w:cs="Arial"/>
          <w:lang w:eastAsia="en-GB"/>
        </w:rPr>
        <w:t>R</w:t>
      </w:r>
      <w:r w:rsidR="00C5666D">
        <w:rPr>
          <w:rFonts w:ascii="Arial" w:eastAsia="Aptos" w:hAnsi="Arial" w:cs="Arial"/>
          <w:lang w:eastAsia="en-GB"/>
        </w:rPr>
        <w:t xml:space="preserve">esolution </w:t>
      </w:r>
      <w:r w:rsidR="002A7C43">
        <w:rPr>
          <w:rFonts w:ascii="Arial" w:eastAsia="Aptos" w:hAnsi="Arial" w:cs="Arial"/>
          <w:lang w:eastAsia="en-GB"/>
        </w:rPr>
        <w:t>A</w:t>
      </w:r>
      <w:r w:rsidR="00C5666D">
        <w:rPr>
          <w:rFonts w:ascii="Arial" w:eastAsia="Aptos" w:hAnsi="Arial" w:cs="Arial"/>
          <w:lang w:eastAsia="en-GB"/>
        </w:rPr>
        <w:t>ppointment (DRA</w:t>
      </w:r>
      <w:r w:rsidR="002A7C43">
        <w:rPr>
          <w:rFonts w:ascii="Arial" w:eastAsia="Aptos" w:hAnsi="Arial" w:cs="Arial"/>
          <w:lang w:eastAsia="en-GB"/>
        </w:rPr>
        <w:t>s</w:t>
      </w:r>
      <w:r w:rsidR="00C5666D">
        <w:rPr>
          <w:rFonts w:ascii="Arial" w:eastAsia="Aptos" w:hAnsi="Arial" w:cs="Arial"/>
          <w:lang w:eastAsia="en-GB"/>
        </w:rPr>
        <w:t>)</w:t>
      </w:r>
      <w:r w:rsidR="002A7C43">
        <w:rPr>
          <w:rFonts w:ascii="Arial" w:eastAsia="Aptos" w:hAnsi="Arial" w:cs="Arial"/>
          <w:lang w:eastAsia="en-GB"/>
        </w:rPr>
        <w:t xml:space="preserve"> that previously appeared under CAP.</w:t>
      </w:r>
      <w:r w:rsidR="002A7C43">
        <w:rPr>
          <w:rFonts w:ascii="Arial" w:hAnsi="Arial" w:cs="Arial"/>
          <w:bCs/>
        </w:rPr>
        <w:t xml:space="preserve"> Instead, a</w:t>
      </w:r>
      <w:r w:rsidR="00D82AE3" w:rsidRPr="00D82AE3">
        <w:rPr>
          <w:rFonts w:ascii="Arial" w:hAnsi="Arial" w:cs="Arial"/>
          <w:bCs/>
        </w:rPr>
        <w:t xml:space="preserve"> case under the </w:t>
      </w:r>
      <w:r w:rsidR="00506A8A">
        <w:rPr>
          <w:rFonts w:ascii="Arial" w:hAnsi="Arial" w:cs="Arial"/>
          <w:bCs/>
        </w:rPr>
        <w:t xml:space="preserve">Model </w:t>
      </w:r>
      <w:r w:rsidR="00D82AE3">
        <w:rPr>
          <w:rFonts w:ascii="Arial" w:hAnsi="Arial" w:cs="Arial"/>
          <w:bCs/>
        </w:rPr>
        <w:t xml:space="preserve">will usually only have one hearing attended by parties, the Decision Hearing. </w:t>
      </w:r>
      <w:r w:rsidR="00237115">
        <w:rPr>
          <w:rFonts w:ascii="Arial" w:hAnsi="Arial" w:cs="Arial"/>
          <w:bCs/>
        </w:rPr>
        <w:t xml:space="preserve">At a Decision Hearing the court </w:t>
      </w:r>
      <w:r w:rsidR="00647355">
        <w:rPr>
          <w:rFonts w:ascii="Arial" w:hAnsi="Arial" w:cs="Arial"/>
          <w:bCs/>
        </w:rPr>
        <w:t xml:space="preserve">address </w:t>
      </w:r>
      <w:r w:rsidR="00237115">
        <w:rPr>
          <w:rFonts w:ascii="Arial" w:hAnsi="Arial" w:cs="Arial"/>
          <w:bCs/>
        </w:rPr>
        <w:t>an</w:t>
      </w:r>
      <w:r w:rsidR="00647355">
        <w:rPr>
          <w:rFonts w:ascii="Arial" w:hAnsi="Arial" w:cs="Arial"/>
          <w:bCs/>
        </w:rPr>
        <w:t>y</w:t>
      </w:r>
      <w:r w:rsidR="00237115">
        <w:rPr>
          <w:rFonts w:ascii="Arial" w:hAnsi="Arial" w:cs="Arial"/>
          <w:bCs/>
        </w:rPr>
        <w:t xml:space="preserve"> recommendations from the CIR that the parties disagree on </w:t>
      </w:r>
      <w:r w:rsidR="00647355">
        <w:rPr>
          <w:rFonts w:ascii="Arial" w:hAnsi="Arial" w:cs="Arial"/>
          <w:bCs/>
        </w:rPr>
        <w:t xml:space="preserve">through judge-led conciliation. </w:t>
      </w:r>
    </w:p>
    <w:p w14:paraId="1BA2D7F0" w14:textId="599C4AD6" w:rsidR="002A7C43" w:rsidRDefault="199E2236" w:rsidP="002A7C43">
      <w:pPr>
        <w:spacing w:before="240" w:after="120" w:line="240" w:lineRule="auto"/>
        <w:rPr>
          <w:rFonts w:ascii="Arial" w:hAnsi="Arial" w:cs="Arial"/>
        </w:rPr>
      </w:pPr>
      <w:r w:rsidRPr="56834A7F">
        <w:rPr>
          <w:rFonts w:ascii="Arial" w:eastAsia="Aptos" w:hAnsi="Arial" w:cs="Arial"/>
          <w:lang w:eastAsia="en-GB"/>
        </w:rPr>
        <w:t xml:space="preserve">The way we process applications has not changed and the same regulations apply. </w:t>
      </w:r>
      <w:r w:rsidR="61272729" w:rsidRPr="56834A7F">
        <w:rPr>
          <w:rFonts w:ascii="Arial" w:hAnsi="Arial" w:cs="Arial"/>
        </w:rPr>
        <w:t>A</w:t>
      </w:r>
      <w:r w:rsidR="511F7D95" w:rsidRPr="56834A7F">
        <w:rPr>
          <w:rFonts w:ascii="Arial" w:hAnsi="Arial" w:cs="Arial"/>
        </w:rPr>
        <w:t>s</w:t>
      </w:r>
      <w:r w:rsidR="61272729" w:rsidRPr="56834A7F">
        <w:rPr>
          <w:rFonts w:ascii="Arial" w:hAnsi="Arial" w:cs="Arial"/>
        </w:rPr>
        <w:t xml:space="preserve"> the court will list a Decision</w:t>
      </w:r>
      <w:r w:rsidR="6FEE02FB" w:rsidRPr="56834A7F">
        <w:rPr>
          <w:rFonts w:ascii="Arial" w:hAnsi="Arial" w:cs="Arial"/>
        </w:rPr>
        <w:t xml:space="preserve"> Hearing</w:t>
      </w:r>
      <w:r w:rsidR="61272729" w:rsidRPr="56834A7F">
        <w:rPr>
          <w:rFonts w:ascii="Arial" w:hAnsi="Arial" w:cs="Arial"/>
        </w:rPr>
        <w:t xml:space="preserve"> for the purpose of making a final determination</w:t>
      </w:r>
      <w:r w:rsidR="6288B6A5" w:rsidRPr="56834A7F">
        <w:rPr>
          <w:rFonts w:ascii="Arial" w:hAnsi="Arial" w:cs="Arial"/>
        </w:rPr>
        <w:t xml:space="preserve"> </w:t>
      </w:r>
      <w:r w:rsidR="61272729" w:rsidRPr="56834A7F">
        <w:rPr>
          <w:rFonts w:ascii="Arial" w:hAnsi="Arial" w:cs="Arial"/>
        </w:rPr>
        <w:t>it should be treated as a final hearing for decision making purposes</w:t>
      </w:r>
      <w:r w:rsidR="704A0597" w:rsidRPr="56834A7F">
        <w:rPr>
          <w:rFonts w:ascii="Arial" w:hAnsi="Arial" w:cs="Arial"/>
        </w:rPr>
        <w:t>.</w:t>
      </w:r>
      <w:r w:rsidR="63679748" w:rsidRPr="56834A7F">
        <w:rPr>
          <w:rFonts w:ascii="Arial" w:hAnsi="Arial" w:cs="Arial"/>
        </w:rPr>
        <w:t xml:space="preserve"> Applications </w:t>
      </w:r>
      <w:r w:rsidR="13DC4A63" w:rsidRPr="56834A7F">
        <w:rPr>
          <w:rFonts w:ascii="Arial" w:hAnsi="Arial" w:cs="Arial"/>
        </w:rPr>
        <w:t xml:space="preserve">for legal aid to cover representation at the Decision Hearing will need to </w:t>
      </w:r>
      <w:r w:rsidR="13DC4A63" w:rsidRPr="56834A7F">
        <w:rPr>
          <w:rFonts w:ascii="Arial" w:hAnsi="Arial" w:cs="Arial"/>
        </w:rPr>
        <w:lastRenderedPageBreak/>
        <w:t>demonstrate how the criteria are satisfied at Merits Regulation 68, Civil Legal Aid (Merits Criteria) Regulations 2013.</w:t>
      </w:r>
      <w:r w:rsidR="704A0597" w:rsidRPr="56834A7F">
        <w:rPr>
          <w:rFonts w:ascii="Arial" w:hAnsi="Arial" w:cs="Arial"/>
        </w:rPr>
        <w:t xml:space="preserve"> </w:t>
      </w:r>
    </w:p>
    <w:p w14:paraId="398CD6D9" w14:textId="4D506376" w:rsidR="00F279B4" w:rsidRPr="007C5EFE" w:rsidRDefault="00506A8A" w:rsidP="007C5EFE">
      <w:pPr>
        <w:spacing w:before="240" w:after="120" w:line="240" w:lineRule="auto"/>
        <w:rPr>
          <w:rFonts w:ascii="Arial" w:hAnsi="Arial" w:cs="Arial"/>
        </w:rPr>
      </w:pPr>
      <w:r>
        <w:rPr>
          <w:rFonts w:ascii="Arial" w:hAnsi="Arial" w:cs="Arial"/>
        </w:rPr>
        <w:t>The Child Focused Model</w:t>
      </w:r>
      <w:r w:rsidR="704A0597" w:rsidRPr="56834A7F">
        <w:rPr>
          <w:rFonts w:ascii="Arial" w:hAnsi="Arial" w:cs="Arial"/>
        </w:rPr>
        <w:t xml:space="preserve"> makes no change to urgent case</w:t>
      </w:r>
      <w:r w:rsidR="65E624A8" w:rsidRPr="56834A7F">
        <w:rPr>
          <w:rFonts w:ascii="Arial" w:hAnsi="Arial" w:cs="Arial"/>
        </w:rPr>
        <w:t xml:space="preserve"> (without notice)</w:t>
      </w:r>
      <w:r w:rsidR="704A0597" w:rsidRPr="56834A7F">
        <w:rPr>
          <w:rFonts w:ascii="Arial" w:hAnsi="Arial" w:cs="Arial"/>
        </w:rPr>
        <w:t xml:space="preserve"> process</w:t>
      </w:r>
      <w:r w:rsidR="772A8581" w:rsidRPr="56834A7F">
        <w:rPr>
          <w:rFonts w:ascii="Arial" w:hAnsi="Arial" w:cs="Arial"/>
        </w:rPr>
        <w:t>, 16.4 appointments</w:t>
      </w:r>
      <w:r w:rsidR="704A0597" w:rsidRPr="56834A7F">
        <w:rPr>
          <w:rFonts w:ascii="Arial" w:hAnsi="Arial" w:cs="Arial"/>
        </w:rPr>
        <w:t xml:space="preserve"> or to the listing of Fact-Finding Hearings</w:t>
      </w:r>
      <w:r w:rsidR="57D5C28A" w:rsidRPr="56834A7F">
        <w:rPr>
          <w:rFonts w:ascii="Arial" w:hAnsi="Arial" w:cs="Arial"/>
        </w:rPr>
        <w:t xml:space="preserve"> which can all be</w:t>
      </w:r>
      <w:r w:rsidR="6FA483C0" w:rsidRPr="56834A7F">
        <w:rPr>
          <w:rFonts w:ascii="Arial" w:hAnsi="Arial" w:cs="Arial"/>
        </w:rPr>
        <w:t xml:space="preserve"> </w:t>
      </w:r>
      <w:r w:rsidR="794EB1E4" w:rsidRPr="56834A7F">
        <w:rPr>
          <w:rFonts w:ascii="Arial" w:hAnsi="Arial" w:cs="Arial"/>
        </w:rPr>
        <w:t xml:space="preserve">made in </w:t>
      </w:r>
      <w:r w:rsidR="334C1B74" w:rsidRPr="56834A7F">
        <w:rPr>
          <w:rFonts w:ascii="Arial" w:hAnsi="Arial" w:cs="Arial"/>
        </w:rPr>
        <w:t>line with the existing provisions in the Practice Directions and Rules</w:t>
      </w:r>
      <w:r w:rsidR="47D2C352" w:rsidRPr="56834A7F">
        <w:rPr>
          <w:rFonts w:ascii="Arial" w:hAnsi="Arial" w:cs="Arial"/>
        </w:rPr>
        <w:t xml:space="preserve">. In exceptional circumstances </w:t>
      </w:r>
      <w:r w:rsidR="5B200740" w:rsidRPr="56834A7F">
        <w:rPr>
          <w:rFonts w:ascii="Arial" w:hAnsi="Arial" w:cs="Arial"/>
        </w:rPr>
        <w:t>where a determination cannot be reached at the Decision Hearing</w:t>
      </w:r>
      <w:r w:rsidR="5E441C1A" w:rsidRPr="56834A7F">
        <w:rPr>
          <w:rFonts w:ascii="Arial" w:hAnsi="Arial" w:cs="Arial"/>
        </w:rPr>
        <w:t>,</w:t>
      </w:r>
      <w:r w:rsidR="5B200740" w:rsidRPr="56834A7F">
        <w:rPr>
          <w:rFonts w:ascii="Arial" w:hAnsi="Arial" w:cs="Arial"/>
        </w:rPr>
        <w:t xml:space="preserve"> </w:t>
      </w:r>
      <w:r w:rsidR="004E5CE6" w:rsidRPr="56834A7F">
        <w:rPr>
          <w:rFonts w:ascii="Arial" w:hAnsi="Arial" w:cs="Arial"/>
        </w:rPr>
        <w:t>a case</w:t>
      </w:r>
      <w:r w:rsidR="47D2C352" w:rsidRPr="56834A7F">
        <w:rPr>
          <w:rFonts w:ascii="Arial" w:hAnsi="Arial" w:cs="Arial"/>
        </w:rPr>
        <w:t xml:space="preserve"> </w:t>
      </w:r>
      <w:r w:rsidR="59E34FE3" w:rsidRPr="56834A7F">
        <w:rPr>
          <w:rFonts w:ascii="Arial" w:hAnsi="Arial" w:cs="Arial"/>
        </w:rPr>
        <w:t xml:space="preserve">may </w:t>
      </w:r>
      <w:r w:rsidR="5B200740" w:rsidRPr="56834A7F">
        <w:rPr>
          <w:rFonts w:ascii="Arial" w:hAnsi="Arial" w:cs="Arial"/>
        </w:rPr>
        <w:t xml:space="preserve">also require a </w:t>
      </w:r>
      <w:r w:rsidR="59E34FE3" w:rsidRPr="56834A7F">
        <w:rPr>
          <w:rFonts w:ascii="Arial" w:hAnsi="Arial" w:cs="Arial"/>
        </w:rPr>
        <w:t>further</w:t>
      </w:r>
      <w:r w:rsidR="5B200740" w:rsidRPr="56834A7F">
        <w:rPr>
          <w:rFonts w:ascii="Arial" w:hAnsi="Arial" w:cs="Arial"/>
        </w:rPr>
        <w:t xml:space="preserve"> hearing.</w:t>
      </w:r>
      <w:r w:rsidR="47D2C352" w:rsidRPr="56834A7F">
        <w:rPr>
          <w:rFonts w:ascii="Arial" w:hAnsi="Arial" w:cs="Arial"/>
        </w:rPr>
        <w:t xml:space="preserve"> </w:t>
      </w:r>
    </w:p>
    <w:p w14:paraId="212567C5" w14:textId="5AAD955A" w:rsidR="00AD014D" w:rsidRPr="00104D85" w:rsidRDefault="5E441C1A" w:rsidP="56834A7F">
      <w:pPr>
        <w:spacing w:after="0" w:line="240" w:lineRule="auto"/>
        <w:rPr>
          <w:rFonts w:ascii="Aptos" w:eastAsia="Aptos" w:hAnsi="Aptos" w:cs="Aptos"/>
          <w:lang w:eastAsia="en-GB"/>
        </w:rPr>
      </w:pPr>
      <w:r w:rsidRPr="56834A7F">
        <w:rPr>
          <w:rFonts w:ascii="Arial" w:eastAsia="Aptos" w:hAnsi="Arial" w:cs="Arial"/>
          <w:lang w:eastAsia="en-GB"/>
        </w:rPr>
        <w:t>More</w:t>
      </w:r>
      <w:r w:rsidR="49CD1F4E" w:rsidRPr="56834A7F">
        <w:rPr>
          <w:rFonts w:ascii="Arial" w:eastAsia="Aptos" w:hAnsi="Arial" w:cs="Arial"/>
          <w:lang w:eastAsia="en-GB"/>
        </w:rPr>
        <w:t xml:space="preserve"> information can be found </w:t>
      </w:r>
      <w:r w:rsidRPr="56834A7F">
        <w:rPr>
          <w:rFonts w:ascii="Arial" w:eastAsia="Aptos" w:hAnsi="Arial" w:cs="Arial"/>
          <w:lang w:eastAsia="en-GB"/>
        </w:rPr>
        <w:t xml:space="preserve">in the practice direction for </w:t>
      </w:r>
      <w:r w:rsidR="00506A8A">
        <w:rPr>
          <w:rFonts w:ascii="Arial" w:eastAsia="Aptos" w:hAnsi="Arial" w:cs="Arial"/>
          <w:lang w:eastAsia="en-GB"/>
        </w:rPr>
        <w:t>Child Focused Courts</w:t>
      </w:r>
      <w:r w:rsidR="45AC4086" w:rsidRPr="56834A7F">
        <w:rPr>
          <w:rFonts w:ascii="Arial" w:eastAsia="Aptos" w:hAnsi="Arial" w:cs="Arial"/>
          <w:lang w:eastAsia="en-GB"/>
        </w:rPr>
        <w:t xml:space="preserve"> – </w:t>
      </w:r>
      <w:hyperlink r:id="rId8">
        <w:r w:rsidR="45AC4086" w:rsidRPr="56834A7F">
          <w:rPr>
            <w:rStyle w:val="Hyperlink"/>
            <w:rFonts w:ascii="Arial" w:eastAsia="Aptos" w:hAnsi="Arial" w:cs="Arial"/>
            <w:lang w:eastAsia="en-GB"/>
          </w:rPr>
          <w:t>Practice Direction 36Z</w:t>
        </w:r>
      </w:hyperlink>
      <w:r w:rsidR="63BD5965" w:rsidRPr="56834A7F">
        <w:rPr>
          <w:rFonts w:ascii="Arial" w:eastAsia="Arial" w:hAnsi="Arial" w:cs="Arial"/>
          <w:color w:val="000000" w:themeColor="text1"/>
        </w:rPr>
        <w:t xml:space="preserve"> We are aware of practice in court areas that is divergent from the intended approach of the </w:t>
      </w:r>
      <w:r w:rsidR="00506A8A">
        <w:rPr>
          <w:rFonts w:ascii="Arial" w:eastAsia="Arial" w:hAnsi="Arial" w:cs="Arial"/>
          <w:color w:val="000000" w:themeColor="text1"/>
        </w:rPr>
        <w:t>Child Focused</w:t>
      </w:r>
      <w:r w:rsidR="63BD5965" w:rsidRPr="56834A7F">
        <w:rPr>
          <w:rFonts w:ascii="Arial" w:eastAsia="Arial" w:hAnsi="Arial" w:cs="Arial"/>
          <w:color w:val="000000" w:themeColor="text1"/>
        </w:rPr>
        <w:t xml:space="preserve"> </w:t>
      </w:r>
      <w:r w:rsidR="00506A8A">
        <w:rPr>
          <w:rFonts w:ascii="Arial" w:eastAsia="Arial" w:hAnsi="Arial" w:cs="Arial"/>
          <w:color w:val="000000" w:themeColor="text1"/>
        </w:rPr>
        <w:t>M</w:t>
      </w:r>
      <w:r w:rsidR="63BD5965" w:rsidRPr="56834A7F">
        <w:rPr>
          <w:rFonts w:ascii="Arial" w:eastAsia="Arial" w:hAnsi="Arial" w:cs="Arial"/>
          <w:color w:val="000000" w:themeColor="text1"/>
        </w:rPr>
        <w:t xml:space="preserve">odel. This includes regularly listed non-urgent attended hearings prior to the Decision </w:t>
      </w:r>
      <w:r w:rsidR="00432C54" w:rsidRPr="56834A7F">
        <w:rPr>
          <w:rFonts w:ascii="Arial" w:eastAsia="Arial" w:hAnsi="Arial" w:cs="Arial"/>
          <w:color w:val="000000" w:themeColor="text1"/>
        </w:rPr>
        <w:t>Hearing or</w:t>
      </w:r>
      <w:r w:rsidR="63BD5965" w:rsidRPr="56834A7F">
        <w:rPr>
          <w:rFonts w:ascii="Arial" w:eastAsia="Arial" w:hAnsi="Arial" w:cs="Arial"/>
          <w:color w:val="000000" w:themeColor="text1"/>
        </w:rPr>
        <w:t xml:space="preserve"> </w:t>
      </w:r>
      <w:r w:rsidR="00432C54">
        <w:rPr>
          <w:rFonts w:ascii="Arial" w:eastAsia="Arial" w:hAnsi="Arial" w:cs="Arial"/>
          <w:color w:val="000000" w:themeColor="text1"/>
        </w:rPr>
        <w:t xml:space="preserve">routinely listing a </w:t>
      </w:r>
      <w:r w:rsidR="63BD5965" w:rsidRPr="56834A7F">
        <w:rPr>
          <w:rFonts w:ascii="Arial" w:eastAsia="Arial" w:hAnsi="Arial" w:cs="Arial"/>
          <w:color w:val="000000" w:themeColor="text1"/>
        </w:rPr>
        <w:t xml:space="preserve">Final Hearing following a Decision Hearing. We are working to ensure adherence to the model and will update these lines with further detail. </w:t>
      </w:r>
      <w:r w:rsidR="63BD5965" w:rsidRPr="56834A7F">
        <w:rPr>
          <w:rFonts w:ascii="Arial" w:eastAsia="Arial" w:hAnsi="Arial" w:cs="Arial"/>
        </w:rPr>
        <w:t xml:space="preserve"> </w:t>
      </w:r>
    </w:p>
    <w:p w14:paraId="2C8A0537" w14:textId="3BB3E0F7" w:rsidR="00AD014D" w:rsidRPr="00104D85" w:rsidRDefault="00AD014D" w:rsidP="56834A7F">
      <w:pPr>
        <w:spacing w:after="0" w:line="240" w:lineRule="auto"/>
        <w:rPr>
          <w:rFonts w:ascii="Arial" w:eastAsia="Aptos" w:hAnsi="Arial" w:cs="Arial"/>
          <w:lang w:eastAsia="en-GB"/>
        </w:rPr>
      </w:pPr>
    </w:p>
    <w:p w14:paraId="6F30910D" w14:textId="6AD9F4D7" w:rsidR="00990223" w:rsidRPr="00506A8A" w:rsidRDefault="00AD014D" w:rsidP="00506A8A">
      <w:pPr>
        <w:spacing w:after="0" w:line="240" w:lineRule="auto"/>
        <w:rPr>
          <w:rFonts w:ascii="Aptos" w:eastAsia="Aptos" w:hAnsi="Aptos" w:cs="Aptos"/>
          <w:lang w:eastAsia="en-GB"/>
        </w:rPr>
      </w:pPr>
      <w:r w:rsidRPr="00990223">
        <w:rPr>
          <w:rFonts w:ascii="Arial" w:eastAsia="Aptos" w:hAnsi="Arial" w:cs="Arial"/>
          <w:lang w:eastAsia="en-GB"/>
        </w:rPr>
        <w:t> </w:t>
      </w:r>
    </w:p>
    <w:sectPr w:rsidR="00990223" w:rsidRPr="00506A8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C40"/>
    <w:multiLevelType w:val="hybridMultilevel"/>
    <w:tmpl w:val="BE2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F5D5F"/>
    <w:multiLevelType w:val="hybridMultilevel"/>
    <w:tmpl w:val="81C02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87607"/>
    <w:multiLevelType w:val="hybridMultilevel"/>
    <w:tmpl w:val="963E3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D2C46"/>
    <w:multiLevelType w:val="hybridMultilevel"/>
    <w:tmpl w:val="2C8C5F96"/>
    <w:lvl w:ilvl="0" w:tplc="12907902">
      <w:start w:val="1"/>
      <w:numFmt w:val="bullet"/>
      <w:lvlText w:val=""/>
      <w:lvlJc w:val="left"/>
      <w:pPr>
        <w:ind w:left="720" w:hanging="360"/>
      </w:pPr>
      <w:rPr>
        <w:rFonts w:ascii="Symbol" w:hAnsi="Symbol" w:hint="default"/>
      </w:rPr>
    </w:lvl>
    <w:lvl w:ilvl="1" w:tplc="BB3A2F22">
      <w:start w:val="1"/>
      <w:numFmt w:val="bullet"/>
      <w:lvlText w:val="o"/>
      <w:lvlJc w:val="left"/>
      <w:pPr>
        <w:ind w:left="1440" w:hanging="360"/>
      </w:pPr>
      <w:rPr>
        <w:rFonts w:ascii="Courier New" w:hAnsi="Courier New" w:hint="default"/>
      </w:rPr>
    </w:lvl>
    <w:lvl w:ilvl="2" w:tplc="70CCB084" w:tentative="1">
      <w:start w:val="1"/>
      <w:numFmt w:val="bullet"/>
      <w:lvlText w:val=""/>
      <w:lvlJc w:val="left"/>
      <w:pPr>
        <w:ind w:left="2160" w:hanging="360"/>
      </w:pPr>
      <w:rPr>
        <w:rFonts w:ascii="Wingdings" w:hAnsi="Wingdings" w:hint="default"/>
      </w:rPr>
    </w:lvl>
    <w:lvl w:ilvl="3" w:tplc="3A1CB602" w:tentative="1">
      <w:start w:val="1"/>
      <w:numFmt w:val="bullet"/>
      <w:lvlText w:val=""/>
      <w:lvlJc w:val="left"/>
      <w:pPr>
        <w:ind w:left="2880" w:hanging="360"/>
      </w:pPr>
      <w:rPr>
        <w:rFonts w:ascii="Symbol" w:hAnsi="Symbol" w:hint="default"/>
      </w:rPr>
    </w:lvl>
    <w:lvl w:ilvl="4" w:tplc="EA0EE16E" w:tentative="1">
      <w:start w:val="1"/>
      <w:numFmt w:val="bullet"/>
      <w:lvlText w:val="o"/>
      <w:lvlJc w:val="left"/>
      <w:pPr>
        <w:ind w:left="3600" w:hanging="360"/>
      </w:pPr>
      <w:rPr>
        <w:rFonts w:ascii="Courier New" w:hAnsi="Courier New" w:hint="default"/>
      </w:rPr>
    </w:lvl>
    <w:lvl w:ilvl="5" w:tplc="EADEE848" w:tentative="1">
      <w:start w:val="1"/>
      <w:numFmt w:val="bullet"/>
      <w:lvlText w:val=""/>
      <w:lvlJc w:val="left"/>
      <w:pPr>
        <w:ind w:left="4320" w:hanging="360"/>
      </w:pPr>
      <w:rPr>
        <w:rFonts w:ascii="Wingdings" w:hAnsi="Wingdings" w:hint="default"/>
      </w:rPr>
    </w:lvl>
    <w:lvl w:ilvl="6" w:tplc="D5E44E20" w:tentative="1">
      <w:start w:val="1"/>
      <w:numFmt w:val="bullet"/>
      <w:lvlText w:val=""/>
      <w:lvlJc w:val="left"/>
      <w:pPr>
        <w:ind w:left="5040" w:hanging="360"/>
      </w:pPr>
      <w:rPr>
        <w:rFonts w:ascii="Symbol" w:hAnsi="Symbol" w:hint="default"/>
      </w:rPr>
    </w:lvl>
    <w:lvl w:ilvl="7" w:tplc="75AA7A04" w:tentative="1">
      <w:start w:val="1"/>
      <w:numFmt w:val="bullet"/>
      <w:lvlText w:val="o"/>
      <w:lvlJc w:val="left"/>
      <w:pPr>
        <w:ind w:left="5760" w:hanging="360"/>
      </w:pPr>
      <w:rPr>
        <w:rFonts w:ascii="Courier New" w:hAnsi="Courier New" w:hint="default"/>
      </w:rPr>
    </w:lvl>
    <w:lvl w:ilvl="8" w:tplc="910616C6" w:tentative="1">
      <w:start w:val="1"/>
      <w:numFmt w:val="bullet"/>
      <w:lvlText w:val=""/>
      <w:lvlJc w:val="left"/>
      <w:pPr>
        <w:ind w:left="6480" w:hanging="360"/>
      </w:pPr>
      <w:rPr>
        <w:rFonts w:ascii="Wingdings" w:hAnsi="Wingdings" w:hint="default"/>
      </w:rPr>
    </w:lvl>
  </w:abstractNum>
  <w:num w:numId="1" w16cid:durableId="1286430981">
    <w:abstractNumId w:val="2"/>
  </w:num>
  <w:num w:numId="2" w16cid:durableId="130023426">
    <w:abstractNumId w:val="0"/>
  </w:num>
  <w:num w:numId="3" w16cid:durableId="326523300">
    <w:abstractNumId w:val="1"/>
  </w:num>
  <w:num w:numId="4" w16cid:durableId="93146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0F6815"/>
    <w:rsid w:val="00066528"/>
    <w:rsid w:val="0008595B"/>
    <w:rsid w:val="000A5621"/>
    <w:rsid w:val="000C4F2B"/>
    <w:rsid w:val="000E12D7"/>
    <w:rsid w:val="00104D85"/>
    <w:rsid w:val="00141ACB"/>
    <w:rsid w:val="001429B1"/>
    <w:rsid w:val="001640F2"/>
    <w:rsid w:val="001649F9"/>
    <w:rsid w:val="001B26B1"/>
    <w:rsid w:val="001D2E9A"/>
    <w:rsid w:val="001F3B81"/>
    <w:rsid w:val="001F5A8E"/>
    <w:rsid w:val="00204892"/>
    <w:rsid w:val="00215562"/>
    <w:rsid w:val="00220A5D"/>
    <w:rsid w:val="00224244"/>
    <w:rsid w:val="00237115"/>
    <w:rsid w:val="002A7C43"/>
    <w:rsid w:val="002D4FD9"/>
    <w:rsid w:val="002D6DDF"/>
    <w:rsid w:val="002F02A5"/>
    <w:rsid w:val="002F3F82"/>
    <w:rsid w:val="00300EAF"/>
    <w:rsid w:val="00304F6D"/>
    <w:rsid w:val="003252FF"/>
    <w:rsid w:val="00326DE2"/>
    <w:rsid w:val="00350206"/>
    <w:rsid w:val="003623B1"/>
    <w:rsid w:val="0036728E"/>
    <w:rsid w:val="003A2BBC"/>
    <w:rsid w:val="00432C54"/>
    <w:rsid w:val="004365D2"/>
    <w:rsid w:val="004B75A7"/>
    <w:rsid w:val="004E5CE6"/>
    <w:rsid w:val="00503FFE"/>
    <w:rsid w:val="00506A8A"/>
    <w:rsid w:val="005203D8"/>
    <w:rsid w:val="0053718D"/>
    <w:rsid w:val="005457B3"/>
    <w:rsid w:val="005571A3"/>
    <w:rsid w:val="005650D0"/>
    <w:rsid w:val="00567C2D"/>
    <w:rsid w:val="00595B5D"/>
    <w:rsid w:val="005B2DBC"/>
    <w:rsid w:val="005C2F9F"/>
    <w:rsid w:val="005C321A"/>
    <w:rsid w:val="005D1F37"/>
    <w:rsid w:val="005F02B6"/>
    <w:rsid w:val="00647355"/>
    <w:rsid w:val="00657FB1"/>
    <w:rsid w:val="00693725"/>
    <w:rsid w:val="006A38A3"/>
    <w:rsid w:val="006B1BCE"/>
    <w:rsid w:val="00720E8C"/>
    <w:rsid w:val="0073587E"/>
    <w:rsid w:val="00756D98"/>
    <w:rsid w:val="00767794"/>
    <w:rsid w:val="00782A3A"/>
    <w:rsid w:val="00792797"/>
    <w:rsid w:val="00796961"/>
    <w:rsid w:val="007C1D45"/>
    <w:rsid w:val="007C5EFE"/>
    <w:rsid w:val="007D060E"/>
    <w:rsid w:val="008276ED"/>
    <w:rsid w:val="00834FE3"/>
    <w:rsid w:val="0083758C"/>
    <w:rsid w:val="00861728"/>
    <w:rsid w:val="008766BF"/>
    <w:rsid w:val="008777F0"/>
    <w:rsid w:val="008A7D2B"/>
    <w:rsid w:val="009104B2"/>
    <w:rsid w:val="00923C78"/>
    <w:rsid w:val="00946DA4"/>
    <w:rsid w:val="009813A9"/>
    <w:rsid w:val="00990223"/>
    <w:rsid w:val="00996734"/>
    <w:rsid w:val="009F44F4"/>
    <w:rsid w:val="00A027CF"/>
    <w:rsid w:val="00A10984"/>
    <w:rsid w:val="00A445BF"/>
    <w:rsid w:val="00A61B7D"/>
    <w:rsid w:val="00A7283A"/>
    <w:rsid w:val="00A93489"/>
    <w:rsid w:val="00AB7773"/>
    <w:rsid w:val="00AC74EE"/>
    <w:rsid w:val="00AD014D"/>
    <w:rsid w:val="00AF3633"/>
    <w:rsid w:val="00B10190"/>
    <w:rsid w:val="00B107C1"/>
    <w:rsid w:val="00B33477"/>
    <w:rsid w:val="00B70E5A"/>
    <w:rsid w:val="00B74F89"/>
    <w:rsid w:val="00B757C8"/>
    <w:rsid w:val="00B83D07"/>
    <w:rsid w:val="00BA4FDB"/>
    <w:rsid w:val="00BE502D"/>
    <w:rsid w:val="00C5048C"/>
    <w:rsid w:val="00C54975"/>
    <w:rsid w:val="00C5666D"/>
    <w:rsid w:val="00C75DB1"/>
    <w:rsid w:val="00CF1A7D"/>
    <w:rsid w:val="00CF4629"/>
    <w:rsid w:val="00CF4B69"/>
    <w:rsid w:val="00D34B21"/>
    <w:rsid w:val="00D518A6"/>
    <w:rsid w:val="00D75674"/>
    <w:rsid w:val="00D82AE3"/>
    <w:rsid w:val="00D91065"/>
    <w:rsid w:val="00DA3531"/>
    <w:rsid w:val="00DB35D6"/>
    <w:rsid w:val="00DE5149"/>
    <w:rsid w:val="00E21257"/>
    <w:rsid w:val="00E86084"/>
    <w:rsid w:val="00EB00D3"/>
    <w:rsid w:val="00ED004E"/>
    <w:rsid w:val="00ED3520"/>
    <w:rsid w:val="00F0124A"/>
    <w:rsid w:val="00F279B4"/>
    <w:rsid w:val="00F86751"/>
    <w:rsid w:val="00F92EAD"/>
    <w:rsid w:val="00FA27C7"/>
    <w:rsid w:val="00FC0043"/>
    <w:rsid w:val="00FE5DA0"/>
    <w:rsid w:val="030F6815"/>
    <w:rsid w:val="120D7AEF"/>
    <w:rsid w:val="13DC4A63"/>
    <w:rsid w:val="199E2236"/>
    <w:rsid w:val="1E06BA5D"/>
    <w:rsid w:val="20C1D73D"/>
    <w:rsid w:val="2773522D"/>
    <w:rsid w:val="334C1B74"/>
    <w:rsid w:val="45AC4086"/>
    <w:rsid w:val="47D2C352"/>
    <w:rsid w:val="49CD1F4E"/>
    <w:rsid w:val="50818316"/>
    <w:rsid w:val="511F7D95"/>
    <w:rsid w:val="56834A7F"/>
    <w:rsid w:val="57D5C28A"/>
    <w:rsid w:val="599BB52D"/>
    <w:rsid w:val="59E34FE3"/>
    <w:rsid w:val="5B200740"/>
    <w:rsid w:val="5E36DDA8"/>
    <w:rsid w:val="5E441C1A"/>
    <w:rsid w:val="61272729"/>
    <w:rsid w:val="6288B6A5"/>
    <w:rsid w:val="63679748"/>
    <w:rsid w:val="63BD5965"/>
    <w:rsid w:val="65E624A8"/>
    <w:rsid w:val="6FA483C0"/>
    <w:rsid w:val="6FEE02FB"/>
    <w:rsid w:val="704A0597"/>
    <w:rsid w:val="772A8581"/>
    <w:rsid w:val="794EB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E5A1"/>
  <w15:chartTrackingRefBased/>
  <w15:docId w15:val="{B463A6DE-6FE9-41A5-B959-2EF2ACD3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223"/>
    <w:rPr>
      <w:color w:val="467886" w:themeColor="hyperlink"/>
      <w:u w:val="single"/>
    </w:rPr>
  </w:style>
  <w:style w:type="character" w:styleId="UnresolvedMention">
    <w:name w:val="Unresolved Mention"/>
    <w:basedOn w:val="DefaultParagraphFont"/>
    <w:uiPriority w:val="99"/>
    <w:semiHidden/>
    <w:unhideWhenUsed/>
    <w:rsid w:val="00990223"/>
    <w:rPr>
      <w:color w:val="605E5C"/>
      <w:shd w:val="clear" w:color="auto" w:fill="E1DFDD"/>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L1"/>
    <w:basedOn w:val="Normal"/>
    <w:link w:val="ListParagraphChar"/>
    <w:uiPriority w:val="34"/>
    <w:qFormat/>
    <w:rsid w:val="001F5A8E"/>
    <w:pPr>
      <w:ind w:left="720"/>
      <w:contextualSpacing/>
    </w:p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basedOn w:val="DefaultParagraphFont"/>
    <w:link w:val="ListParagraph"/>
    <w:uiPriority w:val="34"/>
    <w:qFormat/>
    <w:rsid w:val="00A61B7D"/>
  </w:style>
  <w:style w:type="character" w:styleId="CommentReference">
    <w:name w:val="annotation reference"/>
    <w:basedOn w:val="DefaultParagraphFont"/>
    <w:uiPriority w:val="99"/>
    <w:rsid w:val="00796961"/>
    <w:rPr>
      <w:sz w:val="16"/>
      <w:szCs w:val="16"/>
    </w:rPr>
  </w:style>
  <w:style w:type="paragraph" w:styleId="CommentText">
    <w:name w:val="annotation text"/>
    <w:basedOn w:val="Normal"/>
    <w:link w:val="CommentTextChar"/>
    <w:uiPriority w:val="99"/>
    <w:rsid w:val="00796961"/>
    <w:pPr>
      <w:spacing w:after="24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79696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75674"/>
    <w:pPr>
      <w:spacing w:after="160"/>
    </w:pPr>
    <w:rPr>
      <w:rFonts w:eastAsiaTheme="minorEastAsia"/>
      <w:b/>
      <w:bCs/>
      <w:lang w:eastAsia="ja-JP"/>
    </w:rPr>
  </w:style>
  <w:style w:type="character" w:customStyle="1" w:styleId="CommentSubjectChar">
    <w:name w:val="Comment Subject Char"/>
    <w:basedOn w:val="CommentTextChar"/>
    <w:link w:val="CommentSubject"/>
    <w:uiPriority w:val="99"/>
    <w:semiHidden/>
    <w:rsid w:val="00D75674"/>
    <w:rPr>
      <w:rFonts w:eastAsiaTheme="minorHAnsi"/>
      <w:b/>
      <w:bCs/>
      <w:sz w:val="20"/>
      <w:szCs w:val="20"/>
      <w:lang w:eastAsia="en-US"/>
    </w:rPr>
  </w:style>
  <w:style w:type="paragraph" w:styleId="Revision">
    <w:name w:val="Revision"/>
    <w:hidden/>
    <w:uiPriority w:val="99"/>
    <w:semiHidden/>
    <w:rsid w:val="00D34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k/courts/procedure-rules/family/practice_directions/new-practice-direction-36z-pilot-scheme-private-law-reform-investigative-approa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776222-a54d-4696-af19-b1fe1234582d" xsi:nil="true"/>
    <lcf76f155ced4ddcb4097134ff3c332f xmlns="2c669f62-0efa-41f5-98cf-05833599e1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D0FAB545DDE943BDA98E69963CD87E" ma:contentTypeVersion="15" ma:contentTypeDescription="Create a new document." ma:contentTypeScope="" ma:versionID="e5e69c7429c2221062b827b37af575b6">
  <xsd:schema xmlns:xsd="http://www.w3.org/2001/XMLSchema" xmlns:xs="http://www.w3.org/2001/XMLSchema" xmlns:p="http://schemas.microsoft.com/office/2006/metadata/properties" xmlns:ns2="2c669f62-0efa-41f5-98cf-05833599e173" xmlns:ns3="5c776222-a54d-4696-af19-b1fe1234582d" targetNamespace="http://schemas.microsoft.com/office/2006/metadata/properties" ma:root="true" ma:fieldsID="1183756b85929729f8f3348ebedbf174" ns2:_="" ns3:_="">
    <xsd:import namespace="2c669f62-0efa-41f5-98cf-05833599e173"/>
    <xsd:import namespace="5c776222-a54d-4696-af19-b1fe12345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69f62-0efa-41f5-98cf-05833599e1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776222-a54d-4696-af19-b1fe123458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bcd588-bf03-43d2-9a9c-078876e6ac6c}" ma:internalName="TaxCatchAll" ma:showField="CatchAllData" ma:web="5c776222-a54d-4696-af19-b1fe123458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1AE0F-3B87-46F8-AEAC-509D00C7B775}">
  <ds:schemaRefs>
    <ds:schemaRef ds:uri="http://schemas.microsoft.com/sharepoint/v3/contenttype/forms"/>
  </ds:schemaRefs>
</ds:datastoreItem>
</file>

<file path=customXml/itemProps2.xml><?xml version="1.0" encoding="utf-8"?>
<ds:datastoreItem xmlns:ds="http://schemas.openxmlformats.org/officeDocument/2006/customXml" ds:itemID="{95286699-79FA-4DE7-8DEC-11263A5BF567}">
  <ds:schemaRefs>
    <ds:schemaRef ds:uri="http://schemas.microsoft.com/office/2006/metadata/properties"/>
    <ds:schemaRef ds:uri="http://schemas.microsoft.com/office/infopath/2007/PartnerControls"/>
    <ds:schemaRef ds:uri="5c776222-a54d-4696-af19-b1fe1234582d"/>
    <ds:schemaRef ds:uri="2c669f62-0efa-41f5-98cf-05833599e173"/>
  </ds:schemaRefs>
</ds:datastoreItem>
</file>

<file path=customXml/itemProps3.xml><?xml version="1.0" encoding="utf-8"?>
<ds:datastoreItem xmlns:ds="http://schemas.openxmlformats.org/officeDocument/2006/customXml" ds:itemID="{5462A4C0-6051-45CB-A22B-2ED554666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69f62-0efa-41f5-98cf-05833599e173"/>
    <ds:schemaRef ds:uri="5c776222-a54d-4696-af19-b1fe12345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556</Words>
  <Characters>3223</Characters>
  <Application>Microsoft Office Word</Application>
  <DocSecurity>0</DocSecurity>
  <Lines>84</Lines>
  <Paragraphs>41</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Nathan | He/His</dc:creator>
  <cp:keywords/>
  <dc:description/>
  <cp:lastModifiedBy>Shah, Nathan | He/His</cp:lastModifiedBy>
  <cp:revision>9</cp:revision>
  <dcterms:created xsi:type="dcterms:W3CDTF">2026-02-27T09:48:00Z</dcterms:created>
  <dcterms:modified xsi:type="dcterms:W3CDTF">2026-03-18T09:31:00Z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0x01010034D0FAB545DDE943BDA98E69963CD87E</vt:lpwstr>
  </property>
  <property fmtid="{D5CDD505-2E9C-101B-9397-08002B2CF9AE}" pid="3" name="MediaServiceImageTags">
    <vt:lpwstr/>
  </property>
</Properties>
</file>